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8AC4" w14:textId="77777777" w:rsidR="009D08FF" w:rsidRPr="009D08FF" w:rsidRDefault="009D08FF" w:rsidP="009D08FF">
      <w:pPr>
        <w:keepNext/>
        <w:widowControl w:val="0"/>
        <w:spacing w:before="120" w:after="120" w:line="240" w:lineRule="auto"/>
        <w:outlineLvl w:val="0"/>
        <w:rPr>
          <w:rFonts w:ascii="Times New Roman" w:eastAsia="Batang" w:hAnsi="Times New Roman" w:cs="Times New Roman"/>
          <w:i/>
          <w:iCs/>
          <w:kern w:val="0"/>
          <w14:ligatures w14:val="none"/>
        </w:rPr>
      </w:pPr>
      <w:r w:rsidRPr="009D08FF">
        <w:rPr>
          <w:rFonts w:ascii="Times New Roman" w:eastAsia="Batang" w:hAnsi="Times New Roman" w:cs="Times New Roman"/>
          <w:i/>
          <w:iCs/>
          <w:kern w:val="0"/>
          <w14:ligatures w14:val="none"/>
        </w:rPr>
        <w:t xml:space="preserve">Table 8.3 </w:t>
      </w:r>
      <w:r w:rsidRPr="009D08FF">
        <w:rPr>
          <w:rFonts w:ascii="Times New Roman" w:eastAsia="Batang" w:hAnsi="Times New Roman" w:cs="Times New Roman"/>
          <w:kern w:val="0"/>
          <w14:ligatures w14:val="none"/>
        </w:rPr>
        <w:t>Secondary Strategies for Remember-Level Instruction</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7987"/>
      </w:tblGrid>
      <w:tr w:rsidR="009D08FF" w:rsidRPr="009D08FF" w14:paraId="65277B60" w14:textId="77777777" w:rsidTr="00FA1799">
        <w:trPr>
          <w:cantSplit/>
        </w:trPr>
        <w:tc>
          <w:tcPr>
            <w:tcW w:w="1265" w:type="dxa"/>
            <w:shd w:val="clear" w:color="auto" w:fill="D9D9D9"/>
          </w:tcPr>
          <w:p w14:paraId="029F4278" w14:textId="77777777" w:rsidR="009D08FF" w:rsidRPr="009D08FF" w:rsidRDefault="009D08FF" w:rsidP="009D08FF">
            <w:pPr>
              <w:keepNext/>
              <w:widowControl w:val="0"/>
              <w:spacing w:before="60" w:after="60" w:line="240" w:lineRule="auto"/>
              <w:rPr>
                <w:rFonts w:ascii="Calibri" w:eastAsia="Batang" w:hAnsi="Calibri" w:cs="Calibri"/>
                <w:b/>
                <w:bCs/>
                <w:kern w:val="0"/>
                <w:sz w:val="22"/>
                <w:szCs w:val="22"/>
                <w14:ligatures w14:val="none"/>
              </w:rPr>
            </w:pPr>
            <w:r w:rsidRPr="009D08FF">
              <w:rPr>
                <w:rFonts w:ascii="Calibri" w:eastAsia="Batang" w:hAnsi="Calibri" w:cs="Calibri"/>
                <w:b/>
                <w:bCs/>
                <w:kern w:val="0"/>
                <w:sz w:val="22"/>
                <w:szCs w:val="22"/>
                <w14:ligatures w14:val="none"/>
              </w:rPr>
              <w:t>Strategy</w:t>
            </w:r>
          </w:p>
        </w:tc>
        <w:tc>
          <w:tcPr>
            <w:tcW w:w="7987" w:type="dxa"/>
            <w:shd w:val="clear" w:color="auto" w:fill="D9D9D9"/>
          </w:tcPr>
          <w:p w14:paraId="32C5B117" w14:textId="77777777" w:rsidR="009D08FF" w:rsidRPr="009D08FF" w:rsidRDefault="009D08FF" w:rsidP="009D08FF">
            <w:pPr>
              <w:keepNext/>
              <w:widowControl w:val="0"/>
              <w:spacing w:before="60" w:after="60" w:line="240" w:lineRule="auto"/>
              <w:rPr>
                <w:rFonts w:ascii="Calibri" w:eastAsia="Batang" w:hAnsi="Calibri" w:cs="Calibri"/>
                <w:b/>
                <w:bCs/>
                <w:kern w:val="0"/>
                <w:sz w:val="22"/>
                <w:szCs w:val="22"/>
                <w14:ligatures w14:val="none"/>
              </w:rPr>
            </w:pPr>
            <w:r w:rsidRPr="009D08FF">
              <w:rPr>
                <w:rFonts w:ascii="Calibri" w:eastAsia="Batang" w:hAnsi="Calibri" w:cs="Calibri"/>
                <w:b/>
                <w:bCs/>
                <w:kern w:val="0"/>
                <w:sz w:val="22"/>
                <w:szCs w:val="22"/>
                <w14:ligatures w14:val="none"/>
              </w:rPr>
              <w:t>Guidance</w:t>
            </w:r>
          </w:p>
        </w:tc>
      </w:tr>
      <w:tr w:rsidR="009D08FF" w:rsidRPr="009D08FF" w14:paraId="79A4954E" w14:textId="77777777" w:rsidTr="00FA1799">
        <w:trPr>
          <w:cantSplit/>
        </w:trPr>
        <w:tc>
          <w:tcPr>
            <w:tcW w:w="1265" w:type="dxa"/>
          </w:tcPr>
          <w:p w14:paraId="36B4EF50"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i/>
                <w:kern w:val="0"/>
                <w:sz w:val="22"/>
                <w:szCs w:val="22"/>
                <w14:ligatures w14:val="none"/>
              </w:rPr>
              <w:t>Repetition</w:t>
            </w:r>
          </w:p>
        </w:tc>
        <w:tc>
          <w:tcPr>
            <w:tcW w:w="7987" w:type="dxa"/>
          </w:tcPr>
          <w:p w14:paraId="564D96F2"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kern w:val="0"/>
                <w:sz w:val="22"/>
                <w:szCs w:val="22"/>
                <w14:ligatures w14:val="none"/>
              </w:rPr>
              <w:t>Use for both the presentation and the practice.</w:t>
            </w:r>
          </w:p>
        </w:tc>
      </w:tr>
      <w:tr w:rsidR="009D08FF" w:rsidRPr="009D08FF" w14:paraId="20831CEF" w14:textId="77777777" w:rsidTr="00FA1799">
        <w:trPr>
          <w:cantSplit/>
        </w:trPr>
        <w:tc>
          <w:tcPr>
            <w:tcW w:w="1265" w:type="dxa"/>
          </w:tcPr>
          <w:p w14:paraId="3A00D7E8" w14:textId="77777777" w:rsidR="009D08FF" w:rsidRPr="009D08FF" w:rsidRDefault="009D08FF" w:rsidP="009D08FF">
            <w:pPr>
              <w:widowControl w:val="0"/>
              <w:spacing w:before="60" w:after="60" w:line="240" w:lineRule="auto"/>
              <w:rPr>
                <w:rFonts w:ascii="Calibri" w:eastAsia="Batang" w:hAnsi="Calibri" w:cs="Calibri"/>
                <w:bCs/>
                <w:i/>
                <w:kern w:val="0"/>
                <w:sz w:val="22"/>
                <w:szCs w:val="22"/>
                <w14:ligatures w14:val="none"/>
              </w:rPr>
            </w:pPr>
            <w:r w:rsidRPr="009D08FF">
              <w:rPr>
                <w:rFonts w:ascii="Calibri" w:eastAsia="Batang" w:hAnsi="Calibri" w:cs="Calibri"/>
                <w:bCs/>
                <w:i/>
                <w:kern w:val="0"/>
                <w:sz w:val="22"/>
                <w:szCs w:val="22"/>
                <w14:ligatures w14:val="none"/>
              </w:rPr>
              <w:t>Chunking</w:t>
            </w:r>
          </w:p>
        </w:tc>
        <w:tc>
          <w:tcPr>
            <w:tcW w:w="7987" w:type="dxa"/>
          </w:tcPr>
          <w:p w14:paraId="4D67C1D0"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kern w:val="0"/>
                <w:sz w:val="22"/>
                <w:szCs w:val="22"/>
                <w14:ligatures w14:val="none"/>
              </w:rPr>
              <w:t xml:space="preserve">Divide up large amounts of information into manageable chunks – usually 7 plus or minus 2 items, according to research by Miller </w:t>
            </w:r>
            <w:r w:rsidRPr="009D08FF">
              <w:rPr>
                <w:rFonts w:ascii="Calibri" w:eastAsia="Batang" w:hAnsi="Calibri" w:cs="Calibri"/>
                <w:bCs/>
                <w:kern w:val="0"/>
                <w:sz w:val="22"/>
                <w:szCs w:val="22"/>
                <w14:ligatures w14:val="none"/>
              </w:rPr>
              <w:fldChar w:fldCharType="begin"/>
            </w:r>
            <w:r w:rsidRPr="009D08FF">
              <w:rPr>
                <w:rFonts w:ascii="Calibri" w:eastAsia="Batang" w:hAnsi="Calibri" w:cs="Calibri"/>
                <w:bCs/>
                <w:kern w:val="0"/>
                <w:sz w:val="22"/>
                <w:szCs w:val="22"/>
                <w14:ligatures w14:val="none"/>
              </w:rPr>
              <w:instrText xml:space="preserve"> ADDIN EN.CITE &lt;EndNote&gt;&lt;Cite ExcludeAuth="1"&gt;&lt;Author&gt;Miller&lt;/Author&gt;&lt;Year&gt;1956&lt;/Year&gt;&lt;RecNum&gt;1113&lt;/RecNum&gt;&lt;DisplayText&gt;(1956)&lt;/DisplayText&gt;&lt;record&gt;&lt;rec-number&gt;1113&lt;/rec-number&gt;&lt;foreign-keys&gt;&lt;key app="EN" db-id="ptxte9swdwfa0bex2fjppss2dwezppsz05wf" timestamp="1606918339"&gt;1113&lt;/key&gt;&lt;/foreign-keys&gt;&lt;ref-type name="Journal Article"&gt;17&lt;/ref-type&gt;&lt;contributors&gt;&lt;authors&gt;&lt;author&gt;Miller, George A.&lt;/author&gt;&lt;/authors&gt;&lt;/contributors&gt;&lt;titles&gt;&lt;title&gt;The magical number seven, plus or minus two: Some limits on our capacity for processing information&lt;/title&gt;&lt;secondary-title&gt;Psychological Review&lt;/secondary-title&gt;&lt;/titles&gt;&lt;periodical&gt;&lt;full-title&gt;Psychological Review&lt;/full-title&gt;&lt;/periodical&gt;&lt;pages&gt;81-97&lt;/pages&gt;&lt;volume&gt;63&lt;/volume&gt;&lt;number&gt;2&lt;/number&gt;&lt;dates&gt;&lt;year&gt;1956&lt;/year&gt;&lt;/dates&gt;&lt;urls&gt;&lt;/urls&gt;&lt;electronic-resource-num&gt;10.1037/h0043158&lt;/electronic-resource-num&gt;&lt;/record&gt;&lt;/Cite&gt;&lt;/EndNote&gt;</w:instrText>
            </w:r>
            <w:r w:rsidRPr="009D08FF">
              <w:rPr>
                <w:rFonts w:ascii="Calibri" w:eastAsia="Batang" w:hAnsi="Calibri" w:cs="Calibri"/>
                <w:bCs/>
                <w:kern w:val="0"/>
                <w:sz w:val="22"/>
                <w:szCs w:val="22"/>
                <w14:ligatures w14:val="none"/>
              </w:rPr>
              <w:fldChar w:fldCharType="separate"/>
            </w:r>
            <w:r w:rsidRPr="009D08FF">
              <w:rPr>
                <w:rFonts w:ascii="Calibri" w:eastAsia="Batang" w:hAnsi="Calibri" w:cs="Calibri"/>
                <w:bCs/>
                <w:noProof/>
                <w:kern w:val="0"/>
                <w:sz w:val="22"/>
                <w:szCs w:val="22"/>
                <w14:ligatures w14:val="none"/>
              </w:rPr>
              <w:t>(1956)</w:t>
            </w:r>
            <w:r w:rsidRPr="009D08FF">
              <w:rPr>
                <w:rFonts w:ascii="Calibri" w:eastAsia="Batang" w:hAnsi="Calibri" w:cs="Calibri"/>
                <w:bCs/>
                <w:kern w:val="0"/>
                <w:sz w:val="22"/>
                <w:szCs w:val="22"/>
                <w14:ligatures w14:val="none"/>
              </w:rPr>
              <w:fldChar w:fldCharType="end"/>
            </w:r>
            <w:r w:rsidRPr="009D08FF">
              <w:rPr>
                <w:rFonts w:ascii="Calibri" w:eastAsia="Batang" w:hAnsi="Calibri" w:cs="Calibri"/>
                <w:bCs/>
                <w:kern w:val="0"/>
                <w:sz w:val="22"/>
                <w:szCs w:val="22"/>
                <w14:ligatures w14:val="none"/>
              </w:rPr>
              <w:t xml:space="preserve"> – and use presentation, practice, and feedback until mastery on one chunk before moving to the next chunk. The more complex the information, the smaller the chunks should be.</w:t>
            </w:r>
          </w:p>
        </w:tc>
      </w:tr>
      <w:tr w:rsidR="009D08FF" w:rsidRPr="009D08FF" w14:paraId="29BF80D0" w14:textId="77777777" w:rsidTr="00FA1799">
        <w:trPr>
          <w:cantSplit/>
        </w:trPr>
        <w:tc>
          <w:tcPr>
            <w:tcW w:w="1265" w:type="dxa"/>
          </w:tcPr>
          <w:p w14:paraId="60F9C487" w14:textId="77777777" w:rsidR="009D08FF" w:rsidRPr="009D08FF" w:rsidRDefault="009D08FF" w:rsidP="009D08FF">
            <w:pPr>
              <w:widowControl w:val="0"/>
              <w:spacing w:before="60" w:after="60" w:line="240" w:lineRule="auto"/>
              <w:rPr>
                <w:rFonts w:ascii="Calibri" w:eastAsia="Batang" w:hAnsi="Calibri" w:cs="Calibri"/>
                <w:bCs/>
                <w:i/>
                <w:kern w:val="0"/>
                <w:sz w:val="22"/>
                <w:szCs w:val="22"/>
                <w14:ligatures w14:val="none"/>
              </w:rPr>
            </w:pPr>
            <w:r w:rsidRPr="009D08FF">
              <w:rPr>
                <w:rFonts w:ascii="Calibri" w:eastAsia="Batang" w:hAnsi="Calibri" w:cs="Calibri"/>
                <w:bCs/>
                <w:i/>
                <w:kern w:val="0"/>
                <w:sz w:val="22"/>
                <w:szCs w:val="22"/>
                <w14:ligatures w14:val="none"/>
              </w:rPr>
              <w:t>Spacing</w:t>
            </w:r>
          </w:p>
        </w:tc>
        <w:tc>
          <w:tcPr>
            <w:tcW w:w="7987" w:type="dxa"/>
          </w:tcPr>
          <w:p w14:paraId="68F568B9"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kern w:val="0"/>
                <w:sz w:val="22"/>
                <w:szCs w:val="22"/>
                <w14:ligatures w14:val="none"/>
              </w:rPr>
              <w:t>Provide for passage of time between consecutive practice or assessment items for any given piece of information.</w:t>
            </w:r>
          </w:p>
        </w:tc>
      </w:tr>
      <w:tr w:rsidR="009D08FF" w:rsidRPr="009D08FF" w14:paraId="3F2D4907" w14:textId="77777777" w:rsidTr="00FA1799">
        <w:trPr>
          <w:cantSplit/>
        </w:trPr>
        <w:tc>
          <w:tcPr>
            <w:tcW w:w="1265" w:type="dxa"/>
          </w:tcPr>
          <w:p w14:paraId="32BD6BDA" w14:textId="77777777" w:rsidR="009D08FF" w:rsidRPr="009D08FF" w:rsidRDefault="009D08FF" w:rsidP="009D08FF">
            <w:pPr>
              <w:widowControl w:val="0"/>
              <w:spacing w:before="60" w:after="60" w:line="240" w:lineRule="auto"/>
              <w:rPr>
                <w:rFonts w:ascii="Calibri" w:eastAsia="Batang" w:hAnsi="Calibri" w:cs="Calibri"/>
                <w:bCs/>
                <w:i/>
                <w:kern w:val="0"/>
                <w:sz w:val="22"/>
                <w:szCs w:val="22"/>
                <w14:ligatures w14:val="none"/>
              </w:rPr>
            </w:pPr>
            <w:r w:rsidRPr="009D08FF">
              <w:rPr>
                <w:rFonts w:ascii="Calibri" w:eastAsia="Batang" w:hAnsi="Calibri" w:cs="Calibri"/>
                <w:bCs/>
                <w:i/>
                <w:kern w:val="0"/>
                <w:sz w:val="22"/>
                <w:szCs w:val="22"/>
                <w14:ligatures w14:val="none"/>
              </w:rPr>
              <w:t>Prompting</w:t>
            </w:r>
          </w:p>
        </w:tc>
        <w:tc>
          <w:tcPr>
            <w:tcW w:w="7987" w:type="dxa"/>
          </w:tcPr>
          <w:p w14:paraId="27DF5E31"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kern w:val="0"/>
                <w:sz w:val="22"/>
                <w:szCs w:val="22"/>
                <w14:ligatures w14:val="none"/>
              </w:rPr>
              <w:t>Provide hints (e.g., “begins with ‘p’”) when the learner has difficulty remembering an item.</w:t>
            </w:r>
          </w:p>
        </w:tc>
      </w:tr>
      <w:tr w:rsidR="009D08FF" w:rsidRPr="009D08FF" w14:paraId="6792FA43" w14:textId="77777777" w:rsidTr="00FA1799">
        <w:trPr>
          <w:cantSplit/>
        </w:trPr>
        <w:tc>
          <w:tcPr>
            <w:tcW w:w="1265" w:type="dxa"/>
          </w:tcPr>
          <w:p w14:paraId="47577978" w14:textId="77777777" w:rsidR="009D08FF" w:rsidRPr="009D08FF" w:rsidRDefault="009D08FF" w:rsidP="009D08FF">
            <w:pPr>
              <w:widowControl w:val="0"/>
              <w:spacing w:before="60" w:after="60" w:line="240" w:lineRule="auto"/>
              <w:rPr>
                <w:rFonts w:ascii="Calibri" w:eastAsia="Batang" w:hAnsi="Calibri" w:cs="Calibri"/>
                <w:bCs/>
                <w:i/>
                <w:kern w:val="0"/>
                <w:sz w:val="22"/>
                <w:szCs w:val="22"/>
                <w14:ligatures w14:val="none"/>
              </w:rPr>
            </w:pPr>
            <w:r w:rsidRPr="009D08FF">
              <w:rPr>
                <w:rFonts w:ascii="Calibri" w:eastAsia="Batang" w:hAnsi="Calibri" w:cs="Calibri"/>
                <w:bCs/>
                <w:i/>
                <w:kern w:val="0"/>
                <w:sz w:val="22"/>
                <w:szCs w:val="22"/>
                <w14:ligatures w14:val="none"/>
              </w:rPr>
              <w:t>Mnemonics</w:t>
            </w:r>
          </w:p>
        </w:tc>
        <w:tc>
          <w:tcPr>
            <w:tcW w:w="7987" w:type="dxa"/>
          </w:tcPr>
          <w:p w14:paraId="01DBC7F7"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kern w:val="0"/>
                <w:sz w:val="22"/>
                <w:szCs w:val="22"/>
                <w14:ligatures w14:val="none"/>
              </w:rPr>
              <w:t>Include rhymes, songs, acronyms, images, and so forth, when helpful. Designers can provide them, or the designer can request the learners to develop their own. The designer can also provide prompting to provide hints for remembering the mnemonic.</w:t>
            </w:r>
          </w:p>
        </w:tc>
      </w:tr>
      <w:tr w:rsidR="009D08FF" w:rsidRPr="009D08FF" w14:paraId="294DF171" w14:textId="77777777" w:rsidTr="00FA1799">
        <w:trPr>
          <w:cantSplit/>
        </w:trPr>
        <w:tc>
          <w:tcPr>
            <w:tcW w:w="1265" w:type="dxa"/>
          </w:tcPr>
          <w:p w14:paraId="0C97CAA4" w14:textId="77777777" w:rsidR="009D08FF" w:rsidRPr="009D08FF" w:rsidRDefault="009D08FF" w:rsidP="009D08FF">
            <w:pPr>
              <w:widowControl w:val="0"/>
              <w:spacing w:before="60" w:after="60" w:line="240" w:lineRule="auto"/>
              <w:rPr>
                <w:rFonts w:ascii="Calibri" w:eastAsia="Batang" w:hAnsi="Calibri" w:cs="Calibri"/>
                <w:bCs/>
                <w:i/>
                <w:kern w:val="0"/>
                <w:sz w:val="22"/>
                <w:szCs w:val="22"/>
                <w14:ligatures w14:val="none"/>
              </w:rPr>
            </w:pPr>
            <w:r w:rsidRPr="009D08FF">
              <w:rPr>
                <w:rFonts w:ascii="Calibri" w:eastAsia="Batang" w:hAnsi="Calibri" w:cs="Calibri"/>
                <w:bCs/>
                <w:i/>
                <w:kern w:val="0"/>
                <w:sz w:val="22"/>
                <w:szCs w:val="22"/>
                <w14:ligatures w14:val="none"/>
              </w:rPr>
              <w:t>Review</w:t>
            </w:r>
          </w:p>
        </w:tc>
        <w:tc>
          <w:tcPr>
            <w:tcW w:w="7987" w:type="dxa"/>
          </w:tcPr>
          <w:p w14:paraId="3645A815" w14:textId="77777777" w:rsidR="009D08FF" w:rsidRPr="009D08FF" w:rsidRDefault="009D08FF" w:rsidP="009D08FF">
            <w:pPr>
              <w:widowControl w:val="0"/>
              <w:spacing w:before="60" w:after="60" w:line="240" w:lineRule="auto"/>
              <w:rPr>
                <w:rFonts w:ascii="Calibri" w:eastAsia="Batang" w:hAnsi="Calibri" w:cs="Calibri"/>
                <w:bCs/>
                <w:kern w:val="0"/>
                <w:sz w:val="22"/>
                <w:szCs w:val="22"/>
                <w14:ligatures w14:val="none"/>
              </w:rPr>
            </w:pPr>
            <w:r w:rsidRPr="009D08FF">
              <w:rPr>
                <w:rFonts w:ascii="Calibri" w:eastAsia="Batang" w:hAnsi="Calibri" w:cs="Calibri"/>
                <w:bCs/>
                <w:kern w:val="0"/>
                <w:sz w:val="22"/>
                <w:szCs w:val="22"/>
                <w14:ligatures w14:val="none"/>
              </w:rPr>
              <w:t>Periodically assess the learner on an item from an earlier chunk (called the “review pool” by Salisbury, 1990) and, if the learner could not remember it, include it in the “active pool.”</w:t>
            </w:r>
          </w:p>
        </w:tc>
      </w:tr>
    </w:tbl>
    <w:p w14:paraId="7346DB3E" w14:textId="77777777" w:rsidR="00BA696E" w:rsidRDefault="00BA696E"/>
    <w:sectPr w:rsidR="00BA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FF"/>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A5780"/>
    <w:rsid w:val="001D4389"/>
    <w:rsid w:val="001E1E5E"/>
    <w:rsid w:val="0021085A"/>
    <w:rsid w:val="00233BA5"/>
    <w:rsid w:val="002428B1"/>
    <w:rsid w:val="0025452C"/>
    <w:rsid w:val="002649EB"/>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7158A3"/>
    <w:rsid w:val="00721A05"/>
    <w:rsid w:val="00744F8B"/>
    <w:rsid w:val="00774AE9"/>
    <w:rsid w:val="007D554F"/>
    <w:rsid w:val="007E36AF"/>
    <w:rsid w:val="008077FD"/>
    <w:rsid w:val="008472C8"/>
    <w:rsid w:val="008A23A4"/>
    <w:rsid w:val="008C2722"/>
    <w:rsid w:val="008C4030"/>
    <w:rsid w:val="008F44EB"/>
    <w:rsid w:val="008F73D3"/>
    <w:rsid w:val="00925948"/>
    <w:rsid w:val="00933EE9"/>
    <w:rsid w:val="00955AF2"/>
    <w:rsid w:val="00964C75"/>
    <w:rsid w:val="00984C36"/>
    <w:rsid w:val="009B11BA"/>
    <w:rsid w:val="009B323E"/>
    <w:rsid w:val="009D0078"/>
    <w:rsid w:val="009D08FF"/>
    <w:rsid w:val="009D4337"/>
    <w:rsid w:val="009E1620"/>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E35AA"/>
    <w:rsid w:val="00BF159E"/>
    <w:rsid w:val="00C14350"/>
    <w:rsid w:val="00C614E0"/>
    <w:rsid w:val="00C6182C"/>
    <w:rsid w:val="00C917F0"/>
    <w:rsid w:val="00CA0EC0"/>
    <w:rsid w:val="00CA64D7"/>
    <w:rsid w:val="00CB07F1"/>
    <w:rsid w:val="00CB1952"/>
    <w:rsid w:val="00CE2A55"/>
    <w:rsid w:val="00D12738"/>
    <w:rsid w:val="00D65C45"/>
    <w:rsid w:val="00D74B03"/>
    <w:rsid w:val="00DB0CD4"/>
    <w:rsid w:val="00DB283C"/>
    <w:rsid w:val="00DD7F1E"/>
    <w:rsid w:val="00DE7BDB"/>
    <w:rsid w:val="00E40643"/>
    <w:rsid w:val="00E77148"/>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273B5"/>
  <w15:chartTrackingRefBased/>
  <w15:docId w15:val="{CEB1CC8B-FE6B-564F-84FF-EBF0E8A6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8FF"/>
    <w:rPr>
      <w:rFonts w:eastAsiaTheme="majorEastAsia" w:cstheme="majorBidi"/>
      <w:color w:val="272727" w:themeColor="text1" w:themeTint="D8"/>
    </w:rPr>
  </w:style>
  <w:style w:type="paragraph" w:styleId="Title">
    <w:name w:val="Title"/>
    <w:basedOn w:val="Normal"/>
    <w:next w:val="Normal"/>
    <w:link w:val="TitleChar"/>
    <w:uiPriority w:val="10"/>
    <w:qFormat/>
    <w:rsid w:val="009D0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8FF"/>
    <w:pPr>
      <w:spacing w:before="160"/>
      <w:jc w:val="center"/>
    </w:pPr>
    <w:rPr>
      <w:i/>
      <w:iCs/>
      <w:color w:val="404040" w:themeColor="text1" w:themeTint="BF"/>
    </w:rPr>
  </w:style>
  <w:style w:type="character" w:customStyle="1" w:styleId="QuoteChar">
    <w:name w:val="Quote Char"/>
    <w:basedOn w:val="DefaultParagraphFont"/>
    <w:link w:val="Quote"/>
    <w:uiPriority w:val="29"/>
    <w:rsid w:val="009D08FF"/>
    <w:rPr>
      <w:i/>
      <w:iCs/>
      <w:color w:val="404040" w:themeColor="text1" w:themeTint="BF"/>
    </w:rPr>
  </w:style>
  <w:style w:type="paragraph" w:styleId="ListParagraph">
    <w:name w:val="List Paragraph"/>
    <w:basedOn w:val="Normal"/>
    <w:uiPriority w:val="34"/>
    <w:qFormat/>
    <w:rsid w:val="009D08FF"/>
    <w:pPr>
      <w:ind w:left="720"/>
      <w:contextualSpacing/>
    </w:pPr>
  </w:style>
  <w:style w:type="character" w:styleId="IntenseEmphasis">
    <w:name w:val="Intense Emphasis"/>
    <w:basedOn w:val="DefaultParagraphFont"/>
    <w:uiPriority w:val="21"/>
    <w:qFormat/>
    <w:rsid w:val="009D08FF"/>
    <w:rPr>
      <w:i/>
      <w:iCs/>
      <w:color w:val="0F4761" w:themeColor="accent1" w:themeShade="BF"/>
    </w:rPr>
  </w:style>
  <w:style w:type="paragraph" w:styleId="IntenseQuote">
    <w:name w:val="Intense Quote"/>
    <w:basedOn w:val="Normal"/>
    <w:next w:val="Normal"/>
    <w:link w:val="IntenseQuoteChar"/>
    <w:uiPriority w:val="30"/>
    <w:qFormat/>
    <w:rsid w:val="009D0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8FF"/>
    <w:rPr>
      <w:i/>
      <w:iCs/>
      <w:color w:val="0F4761" w:themeColor="accent1" w:themeShade="BF"/>
    </w:rPr>
  </w:style>
  <w:style w:type="character" w:styleId="IntenseReference">
    <w:name w:val="Intense Reference"/>
    <w:basedOn w:val="DefaultParagraphFont"/>
    <w:uiPriority w:val="32"/>
    <w:qFormat/>
    <w:rsid w:val="009D0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1</cp:revision>
  <dcterms:created xsi:type="dcterms:W3CDTF">2025-04-25T20:56:00Z</dcterms:created>
  <dcterms:modified xsi:type="dcterms:W3CDTF">2025-04-25T20:56:00Z</dcterms:modified>
</cp:coreProperties>
</file>