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13BA1" w14:textId="058EEF4A" w:rsidR="0020509C" w:rsidRPr="0020509C" w:rsidRDefault="00854164" w:rsidP="0020509C">
      <w:pPr>
        <w:keepNext/>
        <w:widowControl w:val="0"/>
        <w:spacing w:after="200" w:line="240" w:lineRule="auto"/>
        <w:outlineLvl w:val="0"/>
        <w:rPr>
          <w:rFonts w:ascii="Times New Roman" w:eastAsia="Batang" w:hAnsi="Times New Roman" w:cs="Times New Roman"/>
          <w:kern w:val="0"/>
          <w14:ligatures w14:val="none"/>
        </w:rPr>
      </w:pPr>
      <w:r>
        <w:rPr>
          <w:rFonts w:ascii="Times New Roman" w:eastAsia="Batang" w:hAnsi="Times New Roman" w:cs="Times New Roman"/>
          <w:i/>
          <w:iCs/>
          <w:kern w:val="0"/>
          <w14:ligatures w14:val="none"/>
        </w:rPr>
        <w:t xml:space="preserve">  </w:t>
      </w:r>
      <w:r w:rsidR="0020509C" w:rsidRPr="0020509C">
        <w:rPr>
          <w:rFonts w:ascii="Times New Roman" w:eastAsia="Batang" w:hAnsi="Times New Roman" w:cs="Times New Roman"/>
          <w:i/>
          <w:iCs/>
          <w:kern w:val="0"/>
          <w14:ligatures w14:val="none"/>
        </w:rPr>
        <w:t>Table 8.6</w:t>
      </w:r>
      <w:r w:rsidR="0020509C" w:rsidRPr="0020509C">
        <w:rPr>
          <w:rFonts w:ascii="Times New Roman" w:eastAsia="Batang" w:hAnsi="Times New Roman" w:cs="Times New Roman"/>
          <w:kern w:val="0"/>
          <w14:ligatures w14:val="none"/>
        </w:rPr>
        <w:t xml:space="preserve"> Secondary Strategies for Applying Skills</w:t>
      </w:r>
    </w:p>
    <w:tbl>
      <w:tblPr>
        <w:tblW w:w="93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1"/>
        <w:gridCol w:w="7651"/>
      </w:tblGrid>
      <w:tr w:rsidR="0020509C" w:rsidRPr="0020509C" w14:paraId="7A5635F0" w14:textId="77777777" w:rsidTr="00FA1799">
        <w:trPr>
          <w:cantSplit/>
        </w:trPr>
        <w:tc>
          <w:tcPr>
            <w:tcW w:w="1691" w:type="dxa"/>
            <w:tcBorders>
              <w:top w:val="single" w:sz="4" w:space="0" w:color="auto"/>
              <w:left w:val="single" w:sz="4" w:space="0" w:color="auto"/>
              <w:bottom w:val="single" w:sz="4" w:space="0" w:color="auto"/>
              <w:right w:val="single" w:sz="4" w:space="0" w:color="auto"/>
            </w:tcBorders>
            <w:shd w:val="clear" w:color="auto" w:fill="D9D9D9"/>
            <w:hideMark/>
          </w:tcPr>
          <w:p w14:paraId="628951F3" w14:textId="77777777" w:rsidR="0020509C" w:rsidRPr="0020509C" w:rsidRDefault="0020509C" w:rsidP="0020509C">
            <w:pPr>
              <w:keepNext/>
              <w:widowControl w:val="0"/>
              <w:spacing w:before="60" w:after="60" w:line="240" w:lineRule="auto"/>
              <w:rPr>
                <w:rFonts w:ascii="Calibri" w:eastAsia="Batang" w:hAnsi="Calibri" w:cs="Calibri"/>
                <w:b/>
                <w:bCs/>
                <w:kern w:val="0"/>
                <w:sz w:val="22"/>
                <w:szCs w:val="22"/>
                <w14:ligatures w14:val="none"/>
              </w:rPr>
            </w:pPr>
            <w:r w:rsidRPr="0020509C">
              <w:rPr>
                <w:rFonts w:ascii="Calibri" w:eastAsia="Batang" w:hAnsi="Calibri" w:cs="Calibri"/>
                <w:b/>
                <w:bCs/>
                <w:kern w:val="0"/>
                <w:sz w:val="22"/>
                <w:szCs w:val="22"/>
                <w14:ligatures w14:val="none"/>
              </w:rPr>
              <w:t>Method</w:t>
            </w:r>
          </w:p>
        </w:tc>
        <w:tc>
          <w:tcPr>
            <w:tcW w:w="7651" w:type="dxa"/>
            <w:tcBorders>
              <w:top w:val="single" w:sz="4" w:space="0" w:color="auto"/>
              <w:left w:val="single" w:sz="4" w:space="0" w:color="auto"/>
              <w:bottom w:val="single" w:sz="4" w:space="0" w:color="auto"/>
              <w:right w:val="single" w:sz="4" w:space="0" w:color="auto"/>
            </w:tcBorders>
            <w:shd w:val="clear" w:color="auto" w:fill="D9D9D9"/>
            <w:hideMark/>
          </w:tcPr>
          <w:p w14:paraId="4919B589" w14:textId="77777777" w:rsidR="0020509C" w:rsidRPr="0020509C" w:rsidRDefault="0020509C" w:rsidP="0020509C">
            <w:pPr>
              <w:keepNext/>
              <w:widowControl w:val="0"/>
              <w:spacing w:before="60" w:after="60" w:line="240" w:lineRule="auto"/>
              <w:rPr>
                <w:rFonts w:ascii="Calibri" w:eastAsia="Batang" w:hAnsi="Calibri" w:cs="Calibri"/>
                <w:b/>
                <w:bCs/>
                <w:kern w:val="0"/>
                <w:sz w:val="22"/>
                <w:szCs w:val="22"/>
                <w14:ligatures w14:val="none"/>
              </w:rPr>
            </w:pPr>
            <w:r w:rsidRPr="0020509C">
              <w:rPr>
                <w:rFonts w:ascii="Calibri" w:eastAsia="Batang" w:hAnsi="Calibri" w:cs="Calibri"/>
                <w:b/>
                <w:bCs/>
                <w:kern w:val="0"/>
                <w:sz w:val="22"/>
                <w:szCs w:val="22"/>
                <w14:ligatures w14:val="none"/>
              </w:rPr>
              <w:t>Secondary Strategy</w:t>
            </w:r>
          </w:p>
        </w:tc>
      </w:tr>
      <w:tr w:rsidR="0020509C" w:rsidRPr="0020509C" w14:paraId="182C6143" w14:textId="77777777" w:rsidTr="00FA1799">
        <w:trPr>
          <w:cantSplit/>
        </w:trPr>
        <w:tc>
          <w:tcPr>
            <w:tcW w:w="1691" w:type="dxa"/>
            <w:tcBorders>
              <w:top w:val="single" w:sz="4" w:space="0" w:color="auto"/>
              <w:left w:val="single" w:sz="4" w:space="0" w:color="auto"/>
              <w:bottom w:val="single" w:sz="4" w:space="0" w:color="auto"/>
              <w:right w:val="single" w:sz="4" w:space="0" w:color="auto"/>
            </w:tcBorders>
            <w:hideMark/>
          </w:tcPr>
          <w:p w14:paraId="58602AFA" w14:textId="77777777" w:rsidR="0020509C" w:rsidRPr="0020509C" w:rsidRDefault="0020509C" w:rsidP="0020509C">
            <w:pPr>
              <w:widowControl w:val="0"/>
              <w:spacing w:before="60" w:after="60" w:line="240" w:lineRule="auto"/>
              <w:rPr>
                <w:rFonts w:ascii="Calibri" w:eastAsia="Batang" w:hAnsi="Calibri" w:cs="Calibri"/>
                <w:bCs/>
                <w:i/>
                <w:kern w:val="0"/>
                <w:sz w:val="22"/>
                <w:szCs w:val="22"/>
                <w14:ligatures w14:val="none"/>
              </w:rPr>
            </w:pPr>
            <w:r w:rsidRPr="0020509C">
              <w:rPr>
                <w:rFonts w:ascii="Calibri" w:eastAsia="Batang" w:hAnsi="Calibri" w:cs="Calibri"/>
                <w:bCs/>
                <w:i/>
                <w:kern w:val="0"/>
                <w:sz w:val="22"/>
                <w:szCs w:val="22"/>
                <w14:ligatures w14:val="none"/>
              </w:rPr>
              <w:t>Inductive or deductive</w:t>
            </w:r>
          </w:p>
        </w:tc>
        <w:tc>
          <w:tcPr>
            <w:tcW w:w="7651" w:type="dxa"/>
            <w:tcBorders>
              <w:top w:val="single" w:sz="4" w:space="0" w:color="auto"/>
              <w:left w:val="single" w:sz="4" w:space="0" w:color="auto"/>
              <w:bottom w:val="single" w:sz="4" w:space="0" w:color="auto"/>
              <w:right w:val="single" w:sz="4" w:space="0" w:color="auto"/>
            </w:tcBorders>
            <w:hideMark/>
          </w:tcPr>
          <w:p w14:paraId="7C5D9D25" w14:textId="77777777" w:rsidR="0020509C" w:rsidRPr="0020509C" w:rsidRDefault="0020509C" w:rsidP="0020509C">
            <w:pPr>
              <w:widowControl w:val="0"/>
              <w:spacing w:before="60" w:after="60" w:line="240" w:lineRule="auto"/>
              <w:rPr>
                <w:rFonts w:ascii="Calibri" w:eastAsia="Batang" w:hAnsi="Calibri" w:cs="Calibri"/>
                <w:bCs/>
                <w:kern w:val="0"/>
                <w:sz w:val="22"/>
                <w14:ligatures w14:val="none"/>
              </w:rPr>
            </w:pPr>
            <w:r w:rsidRPr="0020509C">
              <w:rPr>
                <w:rFonts w:ascii="Calibri" w:eastAsia="Batang" w:hAnsi="Calibri" w:cs="Calibri"/>
                <w:bCs/>
                <w:kern w:val="0"/>
                <w:sz w:val="22"/>
                <w14:ligatures w14:val="none"/>
              </w:rPr>
              <w:t xml:space="preserve">An inductive approach begins with demonstrations or practice. This has the learner </w:t>
            </w:r>
            <w:r w:rsidRPr="0020509C">
              <w:rPr>
                <w:rFonts w:ascii="Calibri" w:eastAsia="Batang" w:hAnsi="Calibri" w:cs="Calibri"/>
                <w:b/>
                <w:i/>
                <w:iCs/>
                <w:kern w:val="0"/>
                <w:sz w:val="22"/>
                <w14:ligatures w14:val="none"/>
              </w:rPr>
              <w:t>discover</w:t>
            </w:r>
            <w:r w:rsidRPr="0020509C">
              <w:rPr>
                <w:rFonts w:ascii="Calibri" w:eastAsia="Batang" w:hAnsi="Calibri" w:cs="Calibri"/>
                <w:bCs/>
                <w:kern w:val="0"/>
                <w:sz w:val="22"/>
                <w14:ligatures w14:val="none"/>
              </w:rPr>
              <w:t xml:space="preserve"> the generality, whereas a deductive approach begins with the </w:t>
            </w:r>
            <w:r w:rsidRPr="0020509C">
              <w:rPr>
                <w:rFonts w:ascii="Calibri" w:eastAsia="Batang" w:hAnsi="Calibri" w:cs="Calibri"/>
                <w:b/>
                <w:i/>
                <w:iCs/>
                <w:kern w:val="0"/>
                <w:sz w:val="22"/>
                <w14:ligatures w14:val="none"/>
              </w:rPr>
              <w:t>generality</w:t>
            </w:r>
            <w:r w:rsidRPr="0020509C">
              <w:rPr>
                <w:rFonts w:ascii="Calibri" w:eastAsia="Batang" w:hAnsi="Calibri" w:cs="Calibri"/>
                <w:bCs/>
                <w:kern w:val="0"/>
                <w:sz w:val="22"/>
                <w14:ligatures w14:val="none"/>
              </w:rPr>
              <w:t xml:space="preserve"> and follows with demonstrations and practice. Sometimes, the designer arranges to give the generality </w:t>
            </w:r>
            <w:r w:rsidRPr="0020509C">
              <w:rPr>
                <w:rFonts w:ascii="Calibri" w:eastAsia="Batang" w:hAnsi="Calibri" w:cs="Calibri"/>
                <w:b/>
                <w:i/>
                <w:iCs/>
                <w:kern w:val="0"/>
                <w:sz w:val="22"/>
                <w14:ligatures w14:val="none"/>
              </w:rPr>
              <w:t>simultaneously</w:t>
            </w:r>
            <w:r w:rsidRPr="0020509C">
              <w:rPr>
                <w:rFonts w:ascii="Calibri" w:eastAsia="Batang" w:hAnsi="Calibri" w:cs="Calibri"/>
                <w:bCs/>
                <w:kern w:val="0"/>
                <w:sz w:val="22"/>
                <w14:ligatures w14:val="none"/>
              </w:rPr>
              <w:t xml:space="preserve"> with the demonstration, providing a hybrid approach. </w:t>
            </w:r>
          </w:p>
          <w:p w14:paraId="2E629CF6" w14:textId="77777777" w:rsidR="0020509C" w:rsidRPr="0020509C" w:rsidRDefault="0020509C" w:rsidP="0020509C">
            <w:pPr>
              <w:widowControl w:val="0"/>
              <w:spacing w:before="60" w:after="60" w:line="240" w:lineRule="auto"/>
              <w:rPr>
                <w:rFonts w:ascii="Calibri" w:eastAsia="Batang" w:hAnsi="Calibri" w:cs="Calibri"/>
                <w:bCs/>
                <w:kern w:val="0"/>
                <w:sz w:val="22"/>
                <w:szCs w:val="22"/>
                <w14:ligatures w14:val="none"/>
              </w:rPr>
            </w:pPr>
            <w:r w:rsidRPr="0020509C">
              <w:rPr>
                <w:rFonts w:ascii="Calibri" w:eastAsia="Batang" w:hAnsi="Calibri" w:cs="Calibri"/>
                <w:bCs/>
                <w:kern w:val="0"/>
                <w:sz w:val="22"/>
                <w14:ligatures w14:val="none"/>
              </w:rPr>
              <w:t>The inductive approach typically begins with either demonstrations or practice, depending on the learner’s tolerance for failure. The inductive approach tends to result in better understanding and retention of the skill, whereas the deductive approach tends to be more efficient. The inductive approach also enhances inductive reasoning skills</w:t>
            </w:r>
            <w:r w:rsidRPr="0020509C">
              <w:rPr>
                <w:rFonts w:ascii="Calibri" w:eastAsia="Batang" w:hAnsi="Calibri" w:cs="Calibri"/>
                <w:bCs/>
                <w:kern w:val="0"/>
                <w:sz w:val="22"/>
                <w:szCs w:val="22"/>
                <w14:ligatures w14:val="none"/>
              </w:rPr>
              <w:t xml:space="preserve">. </w:t>
            </w:r>
            <w:r w:rsidRPr="0020509C">
              <w:rPr>
                <w:rFonts w:ascii="Calibri" w:eastAsia="Batang" w:hAnsi="Calibri" w:cs="Calibri"/>
                <w:bCs/>
                <w:kern w:val="0"/>
                <w:sz w:val="22"/>
                <w14:ligatures w14:val="none"/>
              </w:rPr>
              <w:t xml:space="preserve"> </w:t>
            </w:r>
          </w:p>
        </w:tc>
      </w:tr>
      <w:tr w:rsidR="0020509C" w:rsidRPr="0020509C" w14:paraId="677B6E70" w14:textId="77777777" w:rsidTr="00FA1799">
        <w:trPr>
          <w:cantSplit/>
        </w:trPr>
        <w:tc>
          <w:tcPr>
            <w:tcW w:w="1691" w:type="dxa"/>
            <w:tcBorders>
              <w:top w:val="single" w:sz="4" w:space="0" w:color="auto"/>
              <w:left w:val="single" w:sz="4" w:space="0" w:color="auto"/>
              <w:bottom w:val="single" w:sz="4" w:space="0" w:color="auto"/>
              <w:right w:val="single" w:sz="4" w:space="0" w:color="auto"/>
            </w:tcBorders>
            <w:hideMark/>
          </w:tcPr>
          <w:p w14:paraId="799BFD49" w14:textId="77777777" w:rsidR="0020509C" w:rsidRPr="0020509C" w:rsidRDefault="0020509C" w:rsidP="0020509C">
            <w:pPr>
              <w:widowControl w:val="0"/>
              <w:spacing w:before="60" w:after="60" w:line="240" w:lineRule="auto"/>
              <w:rPr>
                <w:rFonts w:ascii="Calibri" w:eastAsia="Batang" w:hAnsi="Calibri" w:cs="Calibri"/>
                <w:bCs/>
                <w:i/>
                <w:kern w:val="0"/>
                <w:sz w:val="22"/>
                <w:szCs w:val="22"/>
                <w14:ligatures w14:val="none"/>
              </w:rPr>
            </w:pPr>
            <w:r w:rsidRPr="0020509C">
              <w:rPr>
                <w:rFonts w:ascii="Calibri" w:eastAsia="Batang" w:hAnsi="Calibri" w:cs="Calibri"/>
                <w:bCs/>
                <w:i/>
                <w:kern w:val="0"/>
                <w:sz w:val="22"/>
                <w:szCs w:val="22"/>
                <w14:ligatures w14:val="none"/>
              </w:rPr>
              <w:t xml:space="preserve">Attention-focusing </w:t>
            </w:r>
          </w:p>
        </w:tc>
        <w:tc>
          <w:tcPr>
            <w:tcW w:w="7651" w:type="dxa"/>
            <w:tcBorders>
              <w:top w:val="single" w:sz="4" w:space="0" w:color="auto"/>
              <w:left w:val="single" w:sz="4" w:space="0" w:color="auto"/>
              <w:bottom w:val="single" w:sz="4" w:space="0" w:color="auto"/>
              <w:right w:val="single" w:sz="4" w:space="0" w:color="auto"/>
            </w:tcBorders>
            <w:hideMark/>
          </w:tcPr>
          <w:p w14:paraId="7050D154" w14:textId="77777777" w:rsidR="0020509C" w:rsidRPr="0020509C" w:rsidRDefault="0020509C" w:rsidP="0020509C">
            <w:pPr>
              <w:widowControl w:val="0"/>
              <w:spacing w:before="60" w:after="60" w:line="240" w:lineRule="auto"/>
              <w:rPr>
                <w:rFonts w:ascii="Calibri" w:eastAsia="Batang" w:hAnsi="Calibri" w:cs="Calibri"/>
                <w:bCs/>
                <w:kern w:val="0"/>
                <w:sz w:val="22"/>
                <w:szCs w:val="22"/>
                <w14:ligatures w14:val="none"/>
              </w:rPr>
            </w:pPr>
            <w:r w:rsidRPr="0020509C">
              <w:rPr>
                <w:rFonts w:ascii="Calibri" w:eastAsia="Batang" w:hAnsi="Calibri" w:cs="Calibri"/>
                <w:bCs/>
                <w:kern w:val="0"/>
                <w:sz w:val="22"/>
                <w:szCs w:val="22"/>
                <w14:ligatures w14:val="none"/>
              </w:rPr>
              <w:t>Highlighting in textual messages, emphasis in audio messages, and employing zoon in video messages, to name a few, are useful to enhance learning from the generality, demonstrations, and feedback.</w:t>
            </w:r>
          </w:p>
        </w:tc>
      </w:tr>
      <w:tr w:rsidR="0020509C" w:rsidRPr="0020509C" w14:paraId="50C3FE80" w14:textId="77777777" w:rsidTr="00FA1799">
        <w:trPr>
          <w:cantSplit/>
        </w:trPr>
        <w:tc>
          <w:tcPr>
            <w:tcW w:w="1691" w:type="dxa"/>
            <w:tcBorders>
              <w:top w:val="single" w:sz="4" w:space="0" w:color="auto"/>
              <w:left w:val="single" w:sz="4" w:space="0" w:color="auto"/>
              <w:bottom w:val="single" w:sz="4" w:space="0" w:color="auto"/>
              <w:right w:val="single" w:sz="4" w:space="0" w:color="auto"/>
            </w:tcBorders>
            <w:hideMark/>
          </w:tcPr>
          <w:p w14:paraId="0548A053" w14:textId="77777777" w:rsidR="0020509C" w:rsidRPr="0020509C" w:rsidRDefault="0020509C" w:rsidP="0020509C">
            <w:pPr>
              <w:widowControl w:val="0"/>
              <w:spacing w:before="60" w:after="60" w:line="240" w:lineRule="auto"/>
              <w:rPr>
                <w:rFonts w:ascii="Calibri" w:eastAsia="Batang" w:hAnsi="Calibri" w:cs="Calibri"/>
                <w:bCs/>
                <w:i/>
                <w:kern w:val="0"/>
                <w:sz w:val="22"/>
                <w:szCs w:val="22"/>
                <w14:ligatures w14:val="none"/>
              </w:rPr>
            </w:pPr>
            <w:r w:rsidRPr="0020509C">
              <w:rPr>
                <w:rFonts w:ascii="Calibri" w:eastAsia="Batang" w:hAnsi="Calibri" w:cs="Calibri"/>
                <w:bCs/>
                <w:i/>
                <w:kern w:val="0"/>
                <w:sz w:val="22"/>
                <w:szCs w:val="22"/>
                <w14:ligatures w14:val="none"/>
              </w:rPr>
              <w:t>Alternative representations</w:t>
            </w:r>
          </w:p>
        </w:tc>
        <w:tc>
          <w:tcPr>
            <w:tcW w:w="7651" w:type="dxa"/>
            <w:tcBorders>
              <w:top w:val="single" w:sz="4" w:space="0" w:color="auto"/>
              <w:left w:val="single" w:sz="4" w:space="0" w:color="auto"/>
              <w:bottom w:val="single" w:sz="4" w:space="0" w:color="auto"/>
              <w:right w:val="single" w:sz="4" w:space="0" w:color="auto"/>
            </w:tcBorders>
            <w:hideMark/>
          </w:tcPr>
          <w:p w14:paraId="4E3B3744" w14:textId="77777777" w:rsidR="0020509C" w:rsidRPr="0020509C" w:rsidRDefault="0020509C" w:rsidP="0020509C">
            <w:pPr>
              <w:widowControl w:val="0"/>
              <w:spacing w:before="60" w:after="60" w:line="240" w:lineRule="auto"/>
              <w:rPr>
                <w:rFonts w:ascii="Calibri" w:eastAsia="Batang" w:hAnsi="Calibri" w:cs="Calibri"/>
                <w:bCs/>
                <w:kern w:val="0"/>
                <w:sz w:val="22"/>
                <w:szCs w:val="22"/>
                <w14:ligatures w14:val="none"/>
              </w:rPr>
            </w:pPr>
            <w:r w:rsidRPr="0020509C">
              <w:rPr>
                <w:rFonts w:ascii="Calibri" w:eastAsia="Batang" w:hAnsi="Calibri" w:cs="Calibri"/>
                <w:bCs/>
                <w:kern w:val="0"/>
                <w:sz w:val="22"/>
                <w:szCs w:val="22"/>
                <w14:ligatures w14:val="none"/>
              </w:rPr>
              <w:t>Paraphrasing, visuals, audio, and video can enhance learning from the generality, demonstrations, and feedback.</w:t>
            </w:r>
          </w:p>
        </w:tc>
      </w:tr>
      <w:tr w:rsidR="0020509C" w:rsidRPr="0020509C" w14:paraId="6DE17C41" w14:textId="77777777" w:rsidTr="00FA1799">
        <w:trPr>
          <w:cantSplit/>
        </w:trPr>
        <w:tc>
          <w:tcPr>
            <w:tcW w:w="1691" w:type="dxa"/>
            <w:tcBorders>
              <w:top w:val="single" w:sz="4" w:space="0" w:color="auto"/>
              <w:left w:val="single" w:sz="4" w:space="0" w:color="auto"/>
              <w:bottom w:val="single" w:sz="4" w:space="0" w:color="auto"/>
              <w:right w:val="single" w:sz="4" w:space="0" w:color="auto"/>
            </w:tcBorders>
            <w:hideMark/>
          </w:tcPr>
          <w:p w14:paraId="0A074354" w14:textId="77777777" w:rsidR="0020509C" w:rsidRPr="0020509C" w:rsidRDefault="0020509C" w:rsidP="0020509C">
            <w:pPr>
              <w:widowControl w:val="0"/>
              <w:spacing w:before="60" w:after="60" w:line="240" w:lineRule="auto"/>
              <w:rPr>
                <w:rFonts w:ascii="Calibri" w:eastAsia="Batang" w:hAnsi="Calibri" w:cs="Calibri"/>
                <w:bCs/>
                <w:i/>
                <w:kern w:val="0"/>
                <w:sz w:val="22"/>
                <w:szCs w:val="22"/>
                <w14:ligatures w14:val="none"/>
              </w:rPr>
            </w:pPr>
            <w:r w:rsidRPr="0020509C">
              <w:rPr>
                <w:rFonts w:ascii="Calibri" w:eastAsia="Batang" w:hAnsi="Calibri" w:cs="Calibri"/>
                <w:bCs/>
                <w:i/>
                <w:kern w:val="0"/>
                <w:sz w:val="22"/>
                <w:szCs w:val="22"/>
                <w14:ligatures w14:val="none"/>
              </w:rPr>
              <w:t>Prototypical demonstration</w:t>
            </w:r>
          </w:p>
        </w:tc>
        <w:tc>
          <w:tcPr>
            <w:tcW w:w="7651" w:type="dxa"/>
            <w:tcBorders>
              <w:top w:val="single" w:sz="4" w:space="0" w:color="auto"/>
              <w:left w:val="single" w:sz="4" w:space="0" w:color="auto"/>
              <w:bottom w:val="single" w:sz="4" w:space="0" w:color="auto"/>
              <w:right w:val="single" w:sz="4" w:space="0" w:color="auto"/>
            </w:tcBorders>
            <w:hideMark/>
          </w:tcPr>
          <w:p w14:paraId="53AEA44A" w14:textId="77777777" w:rsidR="0020509C" w:rsidRPr="0020509C" w:rsidRDefault="0020509C" w:rsidP="0020509C">
            <w:pPr>
              <w:widowControl w:val="0"/>
              <w:spacing w:before="60" w:after="60" w:line="240" w:lineRule="auto"/>
              <w:rPr>
                <w:rFonts w:ascii="Calibri" w:eastAsia="Batang" w:hAnsi="Calibri" w:cs="Calibri"/>
                <w:bCs/>
                <w:kern w:val="0"/>
                <w:sz w:val="22"/>
                <w:szCs w:val="22"/>
                <w14:ligatures w14:val="none"/>
              </w:rPr>
            </w:pPr>
            <w:r w:rsidRPr="0020509C">
              <w:rPr>
                <w:rFonts w:ascii="Calibri" w:eastAsia="Batang" w:hAnsi="Calibri" w:cs="Calibri"/>
                <w:bCs/>
                <w:kern w:val="0"/>
                <w:sz w:val="22"/>
                <w:szCs w:val="22"/>
                <w14:ligatures w14:val="none"/>
              </w:rPr>
              <w:t>Providing this simultaneously with the generality can enhance learning.</w:t>
            </w:r>
          </w:p>
        </w:tc>
      </w:tr>
      <w:tr w:rsidR="0020509C" w:rsidRPr="0020509C" w14:paraId="4713D43F" w14:textId="77777777" w:rsidTr="00FA1799">
        <w:trPr>
          <w:cantSplit/>
        </w:trPr>
        <w:tc>
          <w:tcPr>
            <w:tcW w:w="1691" w:type="dxa"/>
            <w:tcBorders>
              <w:top w:val="single" w:sz="4" w:space="0" w:color="auto"/>
              <w:left w:val="single" w:sz="4" w:space="0" w:color="auto"/>
              <w:bottom w:val="single" w:sz="4" w:space="0" w:color="auto"/>
              <w:right w:val="single" w:sz="4" w:space="0" w:color="auto"/>
            </w:tcBorders>
            <w:hideMark/>
          </w:tcPr>
          <w:p w14:paraId="7E68AD7D" w14:textId="77777777" w:rsidR="0020509C" w:rsidRPr="0020509C" w:rsidRDefault="0020509C" w:rsidP="0020509C">
            <w:pPr>
              <w:widowControl w:val="0"/>
              <w:spacing w:before="60" w:after="60" w:line="240" w:lineRule="auto"/>
              <w:rPr>
                <w:rFonts w:ascii="Calibri" w:eastAsia="Batang" w:hAnsi="Calibri" w:cs="Calibri"/>
                <w:bCs/>
                <w:i/>
                <w:kern w:val="0"/>
                <w:sz w:val="22"/>
                <w:szCs w:val="22"/>
                <w14:ligatures w14:val="none"/>
              </w:rPr>
            </w:pPr>
            <w:r w:rsidRPr="0020509C">
              <w:rPr>
                <w:rFonts w:ascii="Calibri" w:eastAsia="Batang" w:hAnsi="Calibri" w:cs="Calibri"/>
                <w:bCs/>
                <w:i/>
                <w:kern w:val="0"/>
                <w:sz w:val="22"/>
                <w:szCs w:val="22"/>
                <w14:ligatures w14:val="none"/>
              </w:rPr>
              <w:t>Easy-to-difficult sequence</w:t>
            </w:r>
          </w:p>
        </w:tc>
        <w:tc>
          <w:tcPr>
            <w:tcW w:w="7651" w:type="dxa"/>
            <w:tcBorders>
              <w:top w:val="single" w:sz="4" w:space="0" w:color="auto"/>
              <w:left w:val="single" w:sz="4" w:space="0" w:color="auto"/>
              <w:bottom w:val="single" w:sz="4" w:space="0" w:color="auto"/>
              <w:right w:val="single" w:sz="4" w:space="0" w:color="auto"/>
            </w:tcBorders>
            <w:hideMark/>
          </w:tcPr>
          <w:p w14:paraId="10D49990" w14:textId="77777777" w:rsidR="0020509C" w:rsidRPr="0020509C" w:rsidRDefault="0020509C" w:rsidP="0020509C">
            <w:pPr>
              <w:widowControl w:val="0"/>
              <w:spacing w:before="60" w:after="60" w:line="240" w:lineRule="auto"/>
              <w:rPr>
                <w:rFonts w:ascii="Calibri" w:eastAsia="Batang" w:hAnsi="Calibri" w:cs="Calibri"/>
                <w:bCs/>
                <w:kern w:val="0"/>
                <w:sz w:val="22"/>
                <w:szCs w:val="22"/>
                <w14:ligatures w14:val="none"/>
              </w:rPr>
            </w:pPr>
            <w:r w:rsidRPr="0020509C">
              <w:rPr>
                <w:rFonts w:ascii="Calibri" w:eastAsia="Batang" w:hAnsi="Calibri" w:cs="Calibri"/>
                <w:bCs/>
                <w:kern w:val="0"/>
                <w:sz w:val="22"/>
                <w:szCs w:val="22"/>
                <w14:ligatures w14:val="none"/>
              </w:rPr>
              <w:t>Providing this tends to enhance learning from the demonstrations and practice.</w:t>
            </w:r>
          </w:p>
        </w:tc>
      </w:tr>
      <w:tr w:rsidR="0020509C" w:rsidRPr="0020509C" w14:paraId="3890A46E" w14:textId="77777777" w:rsidTr="00FA1799">
        <w:trPr>
          <w:cantSplit/>
        </w:trPr>
        <w:tc>
          <w:tcPr>
            <w:tcW w:w="1691" w:type="dxa"/>
            <w:tcBorders>
              <w:top w:val="single" w:sz="4" w:space="0" w:color="auto"/>
              <w:left w:val="single" w:sz="4" w:space="0" w:color="auto"/>
              <w:bottom w:val="single" w:sz="4" w:space="0" w:color="auto"/>
              <w:right w:val="single" w:sz="4" w:space="0" w:color="auto"/>
            </w:tcBorders>
            <w:hideMark/>
          </w:tcPr>
          <w:p w14:paraId="5EC251CC" w14:textId="77777777" w:rsidR="0020509C" w:rsidRPr="0020509C" w:rsidRDefault="0020509C" w:rsidP="0020509C">
            <w:pPr>
              <w:widowControl w:val="0"/>
              <w:spacing w:before="60" w:after="60" w:line="240" w:lineRule="auto"/>
              <w:rPr>
                <w:rFonts w:ascii="Calibri" w:eastAsia="Batang" w:hAnsi="Calibri" w:cs="Calibri"/>
                <w:bCs/>
                <w:i/>
                <w:kern w:val="0"/>
                <w:sz w:val="22"/>
                <w:szCs w:val="22"/>
                <w14:ligatures w14:val="none"/>
              </w:rPr>
            </w:pPr>
            <w:r w:rsidRPr="0020509C">
              <w:rPr>
                <w:rFonts w:ascii="Calibri" w:eastAsia="Batang" w:hAnsi="Calibri" w:cs="Calibri"/>
                <w:bCs/>
                <w:i/>
                <w:kern w:val="0"/>
                <w:sz w:val="22"/>
                <w:szCs w:val="22"/>
                <w14:ligatures w14:val="none"/>
              </w:rPr>
              <w:t>Item divergence (variations)</w:t>
            </w:r>
          </w:p>
        </w:tc>
        <w:tc>
          <w:tcPr>
            <w:tcW w:w="7651" w:type="dxa"/>
            <w:tcBorders>
              <w:top w:val="single" w:sz="4" w:space="0" w:color="auto"/>
              <w:left w:val="single" w:sz="4" w:space="0" w:color="auto"/>
              <w:bottom w:val="single" w:sz="4" w:space="0" w:color="auto"/>
              <w:right w:val="single" w:sz="4" w:space="0" w:color="auto"/>
            </w:tcBorders>
            <w:hideMark/>
          </w:tcPr>
          <w:p w14:paraId="5FC8E1F0" w14:textId="77777777" w:rsidR="0020509C" w:rsidRPr="0020509C" w:rsidRDefault="0020509C" w:rsidP="0020509C">
            <w:pPr>
              <w:widowControl w:val="0"/>
              <w:spacing w:before="60" w:after="60" w:line="240" w:lineRule="auto"/>
              <w:rPr>
                <w:rFonts w:ascii="Calibri" w:eastAsia="Batang" w:hAnsi="Calibri" w:cs="Calibri"/>
                <w:bCs/>
                <w:kern w:val="0"/>
                <w:sz w:val="22"/>
                <w:szCs w:val="22"/>
                <w14:ligatures w14:val="none"/>
              </w:rPr>
            </w:pPr>
            <w:r w:rsidRPr="0020509C">
              <w:rPr>
                <w:rFonts w:ascii="Calibri" w:eastAsia="Batang" w:hAnsi="Calibri" w:cs="Calibri"/>
                <w:bCs/>
                <w:kern w:val="0"/>
                <w:sz w:val="22"/>
                <w:szCs w:val="22"/>
                <w14:ligatures w14:val="none"/>
              </w:rPr>
              <w:t xml:space="preserve">Providing this in the demonstrations and practice increases </w:t>
            </w:r>
            <w:r w:rsidRPr="0020509C">
              <w:rPr>
                <w:rFonts w:ascii="Calibri" w:eastAsia="Batang" w:hAnsi="Calibri" w:cs="Calibri"/>
                <w:b/>
                <w:i/>
                <w:iCs/>
                <w:kern w:val="0"/>
                <w:sz w:val="22"/>
                <w:szCs w:val="22"/>
                <w14:ligatures w14:val="none"/>
              </w:rPr>
              <w:t>transfer</w:t>
            </w:r>
            <w:r w:rsidRPr="0020509C">
              <w:rPr>
                <w:rFonts w:ascii="Calibri" w:eastAsia="Batang" w:hAnsi="Calibri" w:cs="Calibri"/>
                <w:bCs/>
                <w:kern w:val="0"/>
                <w:sz w:val="22"/>
                <w:szCs w:val="22"/>
                <w14:ligatures w14:val="none"/>
              </w:rPr>
              <w:t xml:space="preserve"> (generalization). This includes making the items as different as possible from each other, within the full domain of items encountered in the real world, or at least within the types of items encountered at the desired level of learning.</w:t>
            </w:r>
          </w:p>
        </w:tc>
      </w:tr>
      <w:tr w:rsidR="0020509C" w:rsidRPr="0020509C" w14:paraId="1DDC265E" w14:textId="77777777" w:rsidTr="00FA1799">
        <w:trPr>
          <w:cantSplit/>
        </w:trPr>
        <w:tc>
          <w:tcPr>
            <w:tcW w:w="1691" w:type="dxa"/>
            <w:tcBorders>
              <w:top w:val="single" w:sz="4" w:space="0" w:color="auto"/>
              <w:left w:val="single" w:sz="4" w:space="0" w:color="auto"/>
              <w:bottom w:val="single" w:sz="4" w:space="0" w:color="auto"/>
              <w:right w:val="single" w:sz="4" w:space="0" w:color="auto"/>
            </w:tcBorders>
            <w:hideMark/>
          </w:tcPr>
          <w:p w14:paraId="2000ED8C" w14:textId="77777777" w:rsidR="0020509C" w:rsidRPr="0020509C" w:rsidRDefault="0020509C" w:rsidP="0020509C">
            <w:pPr>
              <w:widowControl w:val="0"/>
              <w:spacing w:before="60" w:after="60" w:line="240" w:lineRule="auto"/>
              <w:rPr>
                <w:rFonts w:ascii="Calibri" w:eastAsia="Batang" w:hAnsi="Calibri" w:cs="Calibri"/>
                <w:bCs/>
                <w:i/>
                <w:kern w:val="0"/>
                <w:sz w:val="22"/>
                <w:szCs w:val="22"/>
                <w14:ligatures w14:val="none"/>
              </w:rPr>
            </w:pPr>
            <w:r w:rsidRPr="0020509C">
              <w:rPr>
                <w:rFonts w:ascii="Calibri" w:eastAsia="Batang" w:hAnsi="Calibri" w:cs="Calibri"/>
                <w:bCs/>
                <w:i/>
                <w:kern w:val="0"/>
                <w:sz w:val="22"/>
                <w:szCs w:val="22"/>
                <w14:ligatures w14:val="none"/>
              </w:rPr>
              <w:t>Prompting and hints</w:t>
            </w:r>
          </w:p>
        </w:tc>
        <w:tc>
          <w:tcPr>
            <w:tcW w:w="7651" w:type="dxa"/>
            <w:tcBorders>
              <w:top w:val="single" w:sz="4" w:space="0" w:color="auto"/>
              <w:left w:val="single" w:sz="4" w:space="0" w:color="auto"/>
              <w:bottom w:val="single" w:sz="4" w:space="0" w:color="auto"/>
              <w:right w:val="single" w:sz="4" w:space="0" w:color="auto"/>
            </w:tcBorders>
            <w:hideMark/>
          </w:tcPr>
          <w:p w14:paraId="5EA5E8AD" w14:textId="77777777" w:rsidR="0020509C" w:rsidRPr="0020509C" w:rsidRDefault="0020509C" w:rsidP="0020509C">
            <w:pPr>
              <w:widowControl w:val="0"/>
              <w:spacing w:before="60" w:after="60" w:line="240" w:lineRule="auto"/>
              <w:rPr>
                <w:rFonts w:ascii="Calibri" w:eastAsia="Batang" w:hAnsi="Calibri" w:cs="Calibri"/>
                <w:bCs/>
                <w:kern w:val="0"/>
                <w:sz w:val="22"/>
                <w:szCs w:val="22"/>
                <w14:ligatures w14:val="none"/>
              </w:rPr>
            </w:pPr>
            <w:r w:rsidRPr="0020509C">
              <w:rPr>
                <w:rFonts w:ascii="Calibri" w:eastAsia="Batang" w:hAnsi="Calibri" w:cs="Calibri"/>
                <w:bCs/>
                <w:kern w:val="0"/>
                <w:sz w:val="22"/>
                <w:szCs w:val="22"/>
                <w14:ligatures w14:val="none"/>
              </w:rPr>
              <w:t>Using these with practice can enhance learning.</w:t>
            </w:r>
          </w:p>
        </w:tc>
      </w:tr>
      <w:tr w:rsidR="0020509C" w:rsidRPr="0020509C" w14:paraId="4436051D" w14:textId="77777777" w:rsidTr="00FA1799">
        <w:trPr>
          <w:cantSplit/>
        </w:trPr>
        <w:tc>
          <w:tcPr>
            <w:tcW w:w="1691" w:type="dxa"/>
            <w:tcBorders>
              <w:top w:val="single" w:sz="4" w:space="0" w:color="auto"/>
              <w:left w:val="single" w:sz="4" w:space="0" w:color="auto"/>
              <w:bottom w:val="single" w:sz="4" w:space="0" w:color="auto"/>
              <w:right w:val="single" w:sz="4" w:space="0" w:color="auto"/>
            </w:tcBorders>
            <w:hideMark/>
          </w:tcPr>
          <w:p w14:paraId="21B89EBF" w14:textId="77777777" w:rsidR="0020509C" w:rsidRPr="0020509C" w:rsidRDefault="0020509C" w:rsidP="0020509C">
            <w:pPr>
              <w:widowControl w:val="0"/>
              <w:spacing w:before="60" w:after="60" w:line="240" w:lineRule="auto"/>
              <w:rPr>
                <w:rFonts w:ascii="Calibri" w:eastAsia="Batang" w:hAnsi="Calibri" w:cs="Calibri"/>
                <w:bCs/>
                <w:i/>
                <w:kern w:val="0"/>
                <w:sz w:val="22"/>
                <w:szCs w:val="22"/>
                <w14:ligatures w14:val="none"/>
              </w:rPr>
            </w:pPr>
            <w:r w:rsidRPr="0020509C">
              <w:rPr>
                <w:rFonts w:ascii="Calibri" w:eastAsia="Batang" w:hAnsi="Calibri" w:cs="Calibri"/>
                <w:bCs/>
                <w:i/>
                <w:kern w:val="0"/>
                <w:sz w:val="22"/>
                <w:szCs w:val="22"/>
                <w14:ligatures w14:val="none"/>
              </w:rPr>
              <w:t>Automatization</w:t>
            </w:r>
          </w:p>
        </w:tc>
        <w:tc>
          <w:tcPr>
            <w:tcW w:w="7651" w:type="dxa"/>
            <w:tcBorders>
              <w:top w:val="single" w:sz="4" w:space="0" w:color="auto"/>
              <w:left w:val="single" w:sz="4" w:space="0" w:color="auto"/>
              <w:bottom w:val="single" w:sz="4" w:space="0" w:color="auto"/>
              <w:right w:val="single" w:sz="4" w:space="0" w:color="auto"/>
            </w:tcBorders>
            <w:hideMark/>
          </w:tcPr>
          <w:p w14:paraId="42AEBA83" w14:textId="77777777" w:rsidR="0020509C" w:rsidRPr="0020509C" w:rsidRDefault="0020509C" w:rsidP="0020509C">
            <w:pPr>
              <w:widowControl w:val="0"/>
              <w:spacing w:before="60" w:after="60" w:line="240" w:lineRule="auto"/>
              <w:rPr>
                <w:rFonts w:ascii="Calibri" w:eastAsia="Batang" w:hAnsi="Calibri" w:cs="Calibri"/>
                <w:bCs/>
                <w:kern w:val="0"/>
                <w:sz w:val="22"/>
                <w:szCs w:val="22"/>
                <w14:ligatures w14:val="none"/>
              </w:rPr>
            </w:pPr>
            <w:r w:rsidRPr="0020509C">
              <w:rPr>
                <w:rFonts w:ascii="Calibri" w:eastAsia="Batang" w:hAnsi="Calibri" w:cs="Calibri"/>
                <w:bCs/>
                <w:kern w:val="0"/>
                <w:sz w:val="22"/>
                <w:szCs w:val="22"/>
                <w14:ligatures w14:val="none"/>
              </w:rPr>
              <w:t>Using this with practice entails including a criterion for speed of performance in addition to a criterion for accuracy. It greatly improves learning and retention in some situations.</w:t>
            </w:r>
          </w:p>
        </w:tc>
      </w:tr>
    </w:tbl>
    <w:p w14:paraId="6EB059F3" w14:textId="5344EAD1" w:rsidR="00BA696E" w:rsidRDefault="00BA696E"/>
    <w:sectPr w:rsidR="00BA69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09C"/>
    <w:rsid w:val="0000123D"/>
    <w:rsid w:val="00005298"/>
    <w:rsid w:val="00006647"/>
    <w:rsid w:val="0002400D"/>
    <w:rsid w:val="0005374A"/>
    <w:rsid w:val="0006705E"/>
    <w:rsid w:val="00071009"/>
    <w:rsid w:val="0008767E"/>
    <w:rsid w:val="000A7FA9"/>
    <w:rsid w:val="000B0F62"/>
    <w:rsid w:val="000C60C2"/>
    <w:rsid w:val="000E17B4"/>
    <w:rsid w:val="000F0158"/>
    <w:rsid w:val="0010458A"/>
    <w:rsid w:val="00152E75"/>
    <w:rsid w:val="0015504B"/>
    <w:rsid w:val="001A5780"/>
    <w:rsid w:val="001D4389"/>
    <w:rsid w:val="001E1E5E"/>
    <w:rsid w:val="0020509C"/>
    <w:rsid w:val="0021085A"/>
    <w:rsid w:val="00233BA5"/>
    <w:rsid w:val="002428B1"/>
    <w:rsid w:val="0025452C"/>
    <w:rsid w:val="002649EB"/>
    <w:rsid w:val="00293D18"/>
    <w:rsid w:val="00294E66"/>
    <w:rsid w:val="002A1791"/>
    <w:rsid w:val="002B25FD"/>
    <w:rsid w:val="002C3D32"/>
    <w:rsid w:val="002D4C7B"/>
    <w:rsid w:val="00300B9F"/>
    <w:rsid w:val="00312FCF"/>
    <w:rsid w:val="0032482F"/>
    <w:rsid w:val="00336A05"/>
    <w:rsid w:val="00343472"/>
    <w:rsid w:val="00351B84"/>
    <w:rsid w:val="003B37AD"/>
    <w:rsid w:val="003F3108"/>
    <w:rsid w:val="004009D7"/>
    <w:rsid w:val="00402822"/>
    <w:rsid w:val="00466128"/>
    <w:rsid w:val="004A3A66"/>
    <w:rsid w:val="004A71F2"/>
    <w:rsid w:val="004C2B3C"/>
    <w:rsid w:val="004D09D6"/>
    <w:rsid w:val="004D0A6A"/>
    <w:rsid w:val="004D1D43"/>
    <w:rsid w:val="00540ADA"/>
    <w:rsid w:val="00542409"/>
    <w:rsid w:val="0056236B"/>
    <w:rsid w:val="00585378"/>
    <w:rsid w:val="005A6FF2"/>
    <w:rsid w:val="005C5421"/>
    <w:rsid w:val="00601C98"/>
    <w:rsid w:val="00625D95"/>
    <w:rsid w:val="0066739E"/>
    <w:rsid w:val="00676E5D"/>
    <w:rsid w:val="00692C2E"/>
    <w:rsid w:val="006A23AE"/>
    <w:rsid w:val="007158A3"/>
    <w:rsid w:val="00721A05"/>
    <w:rsid w:val="00744F8B"/>
    <w:rsid w:val="00774AE9"/>
    <w:rsid w:val="007D554F"/>
    <w:rsid w:val="007E36AF"/>
    <w:rsid w:val="008077FD"/>
    <w:rsid w:val="008472C8"/>
    <w:rsid w:val="00854164"/>
    <w:rsid w:val="008A23A4"/>
    <w:rsid w:val="008C2722"/>
    <w:rsid w:val="008C4030"/>
    <w:rsid w:val="008F44EB"/>
    <w:rsid w:val="008F73D3"/>
    <w:rsid w:val="00925948"/>
    <w:rsid w:val="00933EE9"/>
    <w:rsid w:val="00955AF2"/>
    <w:rsid w:val="00964C75"/>
    <w:rsid w:val="00984C36"/>
    <w:rsid w:val="009B11BA"/>
    <w:rsid w:val="009B323E"/>
    <w:rsid w:val="009D0078"/>
    <w:rsid w:val="009D4337"/>
    <w:rsid w:val="009E1620"/>
    <w:rsid w:val="00A13CCD"/>
    <w:rsid w:val="00A23724"/>
    <w:rsid w:val="00A4167F"/>
    <w:rsid w:val="00A41C4F"/>
    <w:rsid w:val="00A46D1E"/>
    <w:rsid w:val="00A60A81"/>
    <w:rsid w:val="00A726B5"/>
    <w:rsid w:val="00A73404"/>
    <w:rsid w:val="00B056E6"/>
    <w:rsid w:val="00B12169"/>
    <w:rsid w:val="00B529D3"/>
    <w:rsid w:val="00B57DF4"/>
    <w:rsid w:val="00B67145"/>
    <w:rsid w:val="00BA696E"/>
    <w:rsid w:val="00BE35AA"/>
    <w:rsid w:val="00BF159E"/>
    <w:rsid w:val="00C14350"/>
    <w:rsid w:val="00C614E0"/>
    <w:rsid w:val="00C6182C"/>
    <w:rsid w:val="00C917F0"/>
    <w:rsid w:val="00CA0EC0"/>
    <w:rsid w:val="00CA64D7"/>
    <w:rsid w:val="00CB07F1"/>
    <w:rsid w:val="00CB1952"/>
    <w:rsid w:val="00CE2A55"/>
    <w:rsid w:val="00D12738"/>
    <w:rsid w:val="00D65C45"/>
    <w:rsid w:val="00D74B03"/>
    <w:rsid w:val="00DB0CD4"/>
    <w:rsid w:val="00DB283C"/>
    <w:rsid w:val="00DD7F1E"/>
    <w:rsid w:val="00DE7BDB"/>
    <w:rsid w:val="00E40643"/>
    <w:rsid w:val="00E77148"/>
    <w:rsid w:val="00EB7A6B"/>
    <w:rsid w:val="00F3133F"/>
    <w:rsid w:val="00F51D35"/>
    <w:rsid w:val="00F72136"/>
    <w:rsid w:val="00F8377A"/>
    <w:rsid w:val="00F978F3"/>
    <w:rsid w:val="00FC3869"/>
    <w:rsid w:val="00FF02A7"/>
    <w:rsid w:val="00FF2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2C3B0D8"/>
  <w15:chartTrackingRefBased/>
  <w15:docId w15:val="{222E699C-8FCA-654D-8450-A5E3ABF3C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50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50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50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50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50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50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50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50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50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50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50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50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50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50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50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50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50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509C"/>
    <w:rPr>
      <w:rFonts w:eastAsiaTheme="majorEastAsia" w:cstheme="majorBidi"/>
      <w:color w:val="272727" w:themeColor="text1" w:themeTint="D8"/>
    </w:rPr>
  </w:style>
  <w:style w:type="paragraph" w:styleId="Title">
    <w:name w:val="Title"/>
    <w:basedOn w:val="Normal"/>
    <w:next w:val="Normal"/>
    <w:link w:val="TitleChar"/>
    <w:uiPriority w:val="10"/>
    <w:qFormat/>
    <w:rsid w:val="002050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50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50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50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509C"/>
    <w:pPr>
      <w:spacing w:before="160"/>
      <w:jc w:val="center"/>
    </w:pPr>
    <w:rPr>
      <w:i/>
      <w:iCs/>
      <w:color w:val="404040" w:themeColor="text1" w:themeTint="BF"/>
    </w:rPr>
  </w:style>
  <w:style w:type="character" w:customStyle="1" w:styleId="QuoteChar">
    <w:name w:val="Quote Char"/>
    <w:basedOn w:val="DefaultParagraphFont"/>
    <w:link w:val="Quote"/>
    <w:uiPriority w:val="29"/>
    <w:rsid w:val="0020509C"/>
    <w:rPr>
      <w:i/>
      <w:iCs/>
      <w:color w:val="404040" w:themeColor="text1" w:themeTint="BF"/>
    </w:rPr>
  </w:style>
  <w:style w:type="paragraph" w:styleId="ListParagraph">
    <w:name w:val="List Paragraph"/>
    <w:basedOn w:val="Normal"/>
    <w:uiPriority w:val="34"/>
    <w:qFormat/>
    <w:rsid w:val="0020509C"/>
    <w:pPr>
      <w:ind w:left="720"/>
      <w:contextualSpacing/>
    </w:pPr>
  </w:style>
  <w:style w:type="character" w:styleId="IntenseEmphasis">
    <w:name w:val="Intense Emphasis"/>
    <w:basedOn w:val="DefaultParagraphFont"/>
    <w:uiPriority w:val="21"/>
    <w:qFormat/>
    <w:rsid w:val="0020509C"/>
    <w:rPr>
      <w:i/>
      <w:iCs/>
      <w:color w:val="0F4761" w:themeColor="accent1" w:themeShade="BF"/>
    </w:rPr>
  </w:style>
  <w:style w:type="paragraph" w:styleId="IntenseQuote">
    <w:name w:val="Intense Quote"/>
    <w:basedOn w:val="Normal"/>
    <w:next w:val="Normal"/>
    <w:link w:val="IntenseQuoteChar"/>
    <w:uiPriority w:val="30"/>
    <w:qFormat/>
    <w:rsid w:val="002050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509C"/>
    <w:rPr>
      <w:i/>
      <w:iCs/>
      <w:color w:val="0F4761" w:themeColor="accent1" w:themeShade="BF"/>
    </w:rPr>
  </w:style>
  <w:style w:type="character" w:styleId="IntenseReference">
    <w:name w:val="Intense Reference"/>
    <w:basedOn w:val="DefaultParagraphFont"/>
    <w:uiPriority w:val="32"/>
    <w:qFormat/>
    <w:rsid w:val="0020509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292</Words>
  <Characters>1667</Characters>
  <Application>Microsoft Office Word</Application>
  <DocSecurity>0</DocSecurity>
  <Lines>13</Lines>
  <Paragraphs>3</Paragraphs>
  <ScaleCrop>false</ScaleCrop>
  <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Reigeluth, Charles M.</dc:creator>
  <cp:keywords/>
  <dc:description/>
  <cp:lastModifiedBy>Reigeluth, Charles M.</cp:lastModifiedBy>
  <cp:revision>2</cp:revision>
  <dcterms:created xsi:type="dcterms:W3CDTF">2025-04-25T21:00:00Z</dcterms:created>
  <dcterms:modified xsi:type="dcterms:W3CDTF">2025-12-09T18:43:00Z</dcterms:modified>
</cp:coreProperties>
</file>